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480" w:lineRule="auto"/>
        <w:jc w:val="center"/>
        <w:rPr>
          <w:b w:val="1"/>
        </w:rPr>
      </w:pPr>
      <w:r w:rsidDel="00000000" w:rsidR="00000000" w:rsidRPr="00000000">
        <w:rPr>
          <w:b w:val="1"/>
          <w:rtl w:val="0"/>
        </w:rPr>
        <w:t xml:space="preserve">The Hype About Hyflex</w:t>
      </w:r>
    </w:p>
    <w:p w:rsidR="00000000" w:rsidDel="00000000" w:rsidP="00000000" w:rsidRDefault="00000000" w:rsidRPr="00000000" w14:paraId="00000006">
      <w:pPr>
        <w:spacing w:line="480" w:lineRule="auto"/>
        <w:jc w:val="center"/>
        <w:rPr/>
      </w:pPr>
      <w:r w:rsidDel="00000000" w:rsidR="00000000" w:rsidRPr="00000000">
        <w:rPr>
          <w:rtl w:val="0"/>
        </w:rPr>
      </w:r>
    </w:p>
    <w:p w:rsidR="00000000" w:rsidDel="00000000" w:rsidP="00000000" w:rsidRDefault="00000000" w:rsidRPr="00000000" w14:paraId="00000007">
      <w:pPr>
        <w:spacing w:line="480" w:lineRule="auto"/>
        <w:jc w:val="center"/>
        <w:rPr>
          <w:b w:val="1"/>
        </w:rPr>
      </w:pPr>
      <w:r w:rsidDel="00000000" w:rsidR="00000000" w:rsidRPr="00000000">
        <w:rPr>
          <w:rtl w:val="0"/>
        </w:rPr>
        <w:t xml:space="preserve">Jilane Richardson</w:t>
      </w:r>
      <w:r w:rsidDel="00000000" w:rsidR="00000000" w:rsidRPr="00000000">
        <w:rPr>
          <w:rtl w:val="0"/>
        </w:rPr>
      </w:r>
    </w:p>
    <w:p w:rsidR="00000000" w:rsidDel="00000000" w:rsidP="00000000" w:rsidRDefault="00000000" w:rsidRPr="00000000" w14:paraId="00000008">
      <w:pPr>
        <w:spacing w:line="480" w:lineRule="auto"/>
        <w:jc w:val="center"/>
        <w:rPr/>
      </w:pPr>
      <w:r w:rsidDel="00000000" w:rsidR="00000000" w:rsidRPr="00000000">
        <w:rPr>
          <w:rtl w:val="0"/>
        </w:rPr>
        <w:t xml:space="preserve">Boise State University</w:t>
      </w:r>
    </w:p>
    <w:p w:rsidR="00000000" w:rsidDel="00000000" w:rsidP="00000000" w:rsidRDefault="00000000" w:rsidRPr="00000000" w14:paraId="00000009">
      <w:pPr>
        <w:spacing w:line="480" w:lineRule="auto"/>
        <w:jc w:val="left"/>
        <w:rPr/>
      </w:pPr>
      <w:r w:rsidDel="00000000" w:rsidR="00000000" w:rsidRPr="00000000">
        <w:rPr>
          <w:rtl w:val="0"/>
        </w:rPr>
      </w:r>
    </w:p>
    <w:p w:rsidR="00000000" w:rsidDel="00000000" w:rsidP="00000000" w:rsidRDefault="00000000" w:rsidRPr="00000000" w14:paraId="0000000A">
      <w:pPr>
        <w:spacing w:line="480" w:lineRule="auto"/>
        <w:jc w:val="left"/>
        <w:rPr/>
      </w:pPr>
      <w:r w:rsidDel="00000000" w:rsidR="00000000" w:rsidRPr="00000000">
        <w:rPr>
          <w:rtl w:val="0"/>
        </w:rPr>
      </w:r>
    </w:p>
    <w:p w:rsidR="00000000" w:rsidDel="00000000" w:rsidP="00000000" w:rsidRDefault="00000000" w:rsidRPr="00000000" w14:paraId="0000000B">
      <w:pPr>
        <w:spacing w:line="480" w:lineRule="auto"/>
        <w:jc w:val="left"/>
        <w:rPr/>
      </w:pPr>
      <w:r w:rsidDel="00000000" w:rsidR="00000000" w:rsidRPr="00000000">
        <w:rPr>
          <w:rtl w:val="0"/>
        </w:rPr>
      </w:r>
    </w:p>
    <w:p w:rsidR="00000000" w:rsidDel="00000000" w:rsidP="00000000" w:rsidRDefault="00000000" w:rsidRPr="00000000" w14:paraId="0000000C">
      <w:pPr>
        <w:spacing w:line="480" w:lineRule="auto"/>
        <w:jc w:val="left"/>
        <w:rPr/>
      </w:pPr>
      <w:r w:rsidDel="00000000" w:rsidR="00000000" w:rsidRPr="00000000">
        <w:rPr>
          <w:rtl w:val="0"/>
        </w:rPr>
      </w:r>
    </w:p>
    <w:p w:rsidR="00000000" w:rsidDel="00000000" w:rsidP="00000000" w:rsidRDefault="00000000" w:rsidRPr="00000000" w14:paraId="0000000D">
      <w:pPr>
        <w:spacing w:line="480" w:lineRule="auto"/>
        <w:jc w:val="left"/>
        <w:rPr/>
      </w:pPr>
      <w:r w:rsidDel="00000000" w:rsidR="00000000" w:rsidRPr="00000000">
        <w:rPr>
          <w:rtl w:val="0"/>
        </w:rPr>
      </w:r>
    </w:p>
    <w:p w:rsidR="00000000" w:rsidDel="00000000" w:rsidP="00000000" w:rsidRDefault="00000000" w:rsidRPr="00000000" w14:paraId="0000000E">
      <w:pPr>
        <w:spacing w:line="480" w:lineRule="auto"/>
        <w:jc w:val="left"/>
        <w:rPr/>
      </w:pPr>
      <w:r w:rsidDel="00000000" w:rsidR="00000000" w:rsidRPr="00000000">
        <w:rPr>
          <w:rtl w:val="0"/>
        </w:rPr>
      </w:r>
    </w:p>
    <w:p w:rsidR="00000000" w:rsidDel="00000000" w:rsidP="00000000" w:rsidRDefault="00000000" w:rsidRPr="00000000" w14:paraId="0000000F">
      <w:pPr>
        <w:ind w:firstLine="720"/>
        <w:jc w:val="left"/>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10">
      <w:pPr>
        <w:ind w:firstLine="720"/>
        <w:jc w:val="left"/>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11">
      <w:pPr>
        <w:ind w:firstLine="720"/>
        <w:jc w:val="left"/>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12">
      <w:pPr>
        <w:ind w:firstLine="720"/>
        <w:jc w:val="left"/>
        <w:rPr>
          <w:rFonts w:ascii="Calibri" w:cs="Calibri" w:eastAsia="Calibri" w:hAnsi="Calibri"/>
          <w:b w:val="0"/>
          <w:i w:val="0"/>
          <w:color w:val="000000"/>
          <w:sz w:val="22"/>
          <w:szCs w:val="22"/>
        </w:rPr>
      </w:pPr>
      <w:r w:rsidDel="00000000" w:rsidR="00000000" w:rsidRPr="00000000">
        <w:rPr>
          <w:rtl w:val="0"/>
        </w:rPr>
      </w:r>
    </w:p>
    <w:p w:rsidR="00000000" w:rsidDel="00000000" w:rsidP="00000000" w:rsidRDefault="00000000" w:rsidRPr="00000000" w14:paraId="00000013">
      <w:pPr>
        <w:ind w:firstLine="0"/>
        <w:jc w:val="center"/>
        <w:rPr>
          <w:rFonts w:ascii="Calibri" w:cs="Calibri" w:eastAsia="Calibri" w:hAnsi="Calibri"/>
          <w:b w:val="0"/>
          <w:i w:val="0"/>
          <w:color w:val="000000"/>
          <w:sz w:val="22"/>
          <w:szCs w:val="22"/>
        </w:rPr>
      </w:pPr>
      <w:r w:rsidDel="00000000" w:rsidR="00000000" w:rsidRPr="00000000">
        <w:rPr>
          <w:rFonts w:ascii="Calibri" w:cs="Calibri" w:eastAsia="Calibri" w:hAnsi="Calibri"/>
          <w:b w:val="1"/>
          <w:i w:val="0"/>
          <w:color w:val="000000"/>
          <w:sz w:val="22"/>
          <w:szCs w:val="22"/>
          <w:rtl w:val="0"/>
        </w:rPr>
        <w:t xml:space="preserve">Author Note</w:t>
      </w:r>
      <w:r w:rsidDel="00000000" w:rsidR="00000000" w:rsidRPr="00000000">
        <w:rPr>
          <w:rtl w:val="0"/>
        </w:rPr>
      </w:r>
    </w:p>
    <w:p w:rsidR="00000000" w:rsidDel="00000000" w:rsidP="00000000" w:rsidRDefault="00000000" w:rsidRPr="00000000" w14:paraId="00000014">
      <w:pPr>
        <w:ind w:firstLine="720"/>
        <w:jc w:val="left"/>
        <w:rPr>
          <w:rFonts w:ascii="Calibri" w:cs="Calibri" w:eastAsia="Calibri" w:hAnsi="Calibri"/>
          <w:b w:val="0"/>
          <w:i w:val="0"/>
          <w:color w:val="000000"/>
          <w:sz w:val="22"/>
          <w:szCs w:val="22"/>
        </w:rPr>
      </w:pPr>
      <w:r w:rsidDel="00000000" w:rsidR="00000000" w:rsidRPr="00000000">
        <w:rPr>
          <w:rFonts w:ascii="Calibri" w:cs="Calibri" w:eastAsia="Calibri" w:hAnsi="Calibri"/>
          <w:b w:val="0"/>
          <w:i w:val="0"/>
          <w:color w:val="000000"/>
          <w:sz w:val="22"/>
          <w:szCs w:val="22"/>
          <w:rtl w:val="0"/>
        </w:rPr>
        <w:t xml:space="preserve">Correspondence concerning this article should be addressed to Jilane Richardson. Email: </w:t>
      </w:r>
      <w:hyperlink r:id="rId6">
        <w:r w:rsidDel="00000000" w:rsidR="00000000" w:rsidRPr="00000000">
          <w:rPr>
            <w:rFonts w:ascii="Calibri" w:cs="Calibri" w:eastAsia="Calibri" w:hAnsi="Calibri"/>
            <w:b w:val="0"/>
            <w:i w:val="0"/>
            <w:color w:val="0563c1"/>
            <w:sz w:val="22"/>
            <w:szCs w:val="22"/>
            <w:u w:val="single"/>
            <w:rtl w:val="0"/>
          </w:rPr>
          <w:t xml:space="preserve">jilanerichardson@u.boisestate.edu</w:t>
        </w:r>
      </w:hyperlink>
      <w:r w:rsidDel="00000000" w:rsidR="00000000" w:rsidRPr="00000000">
        <w:rPr>
          <w:rtl w:val="0"/>
        </w:rPr>
      </w:r>
    </w:p>
    <w:p w:rsidR="00000000" w:rsidDel="00000000" w:rsidP="00000000" w:rsidRDefault="00000000" w:rsidRPr="00000000" w14:paraId="00000015">
      <w:pPr>
        <w:ind w:firstLine="720"/>
        <w:jc w:val="left"/>
        <w:rPr>
          <w:rFonts w:ascii="Calibri" w:cs="Calibri" w:eastAsia="Calibri" w:hAnsi="Calibri"/>
          <w:b w:val="0"/>
          <w:i w:val="0"/>
          <w:color w:val="000000"/>
          <w:sz w:val="22"/>
          <w:szCs w:val="22"/>
        </w:rPr>
      </w:pPr>
      <w:r w:rsidDel="00000000" w:rsidR="00000000" w:rsidRPr="00000000">
        <w:rPr>
          <w:rFonts w:ascii="Calibri" w:cs="Calibri" w:eastAsia="Calibri" w:hAnsi="Calibri"/>
          <w:b w:val="0"/>
          <w:i w:val="1"/>
          <w:color w:val="000000"/>
          <w:sz w:val="22"/>
          <w:szCs w:val="22"/>
          <w:rtl w:val="0"/>
        </w:rPr>
        <w:t xml:space="preserve">Topics: </w:t>
      </w:r>
      <w:r w:rsidDel="00000000" w:rsidR="00000000" w:rsidRPr="00000000">
        <w:rPr>
          <w:rFonts w:ascii="Calibri" w:cs="Calibri" w:eastAsia="Calibri" w:hAnsi="Calibri"/>
          <w:b w:val="0"/>
          <w:i w:val="0"/>
          <w:color w:val="000000"/>
          <w:sz w:val="22"/>
          <w:szCs w:val="22"/>
          <w:rtl w:val="0"/>
        </w:rPr>
        <w:t xml:space="preserve">Hyflex courses, teaching strategies and techniques, teaching with technology</w:t>
      </w:r>
    </w:p>
    <w:p w:rsidR="00000000" w:rsidDel="00000000" w:rsidP="00000000" w:rsidRDefault="00000000" w:rsidRPr="00000000" w14:paraId="00000016">
      <w:pPr>
        <w:spacing w:line="480" w:lineRule="auto"/>
        <w:jc w:val="left"/>
        <w:rPr/>
      </w:pPr>
      <w:r w:rsidDel="00000000" w:rsidR="00000000" w:rsidRPr="00000000">
        <w:rPr>
          <w:rtl w:val="0"/>
        </w:rPr>
      </w:r>
    </w:p>
    <w:p w:rsidR="00000000" w:rsidDel="00000000" w:rsidP="00000000" w:rsidRDefault="00000000" w:rsidRPr="00000000" w14:paraId="00000017">
      <w:pPr>
        <w:spacing w:line="480" w:lineRule="auto"/>
        <w:jc w:val="center"/>
        <w:rPr/>
      </w:pPr>
      <w:r w:rsidDel="00000000" w:rsidR="00000000" w:rsidRPr="00000000">
        <w:rPr>
          <w:b w:val="1"/>
          <w:rtl w:val="0"/>
        </w:rPr>
        <w:t xml:space="preserve">Description</w:t>
      </w:r>
      <w:r w:rsidDel="00000000" w:rsidR="00000000" w:rsidRPr="00000000">
        <w:rPr>
          <w:rtl w:val="0"/>
        </w:rPr>
      </w:r>
    </w:p>
    <w:p w:rsidR="00000000" w:rsidDel="00000000" w:rsidP="00000000" w:rsidRDefault="00000000" w:rsidRPr="00000000" w14:paraId="00000018">
      <w:pPr>
        <w:spacing w:line="480" w:lineRule="auto"/>
        <w:ind w:firstLine="720"/>
        <w:rPr/>
      </w:pPr>
      <w:r w:rsidDel="00000000" w:rsidR="00000000" w:rsidRPr="00000000">
        <w:rPr>
          <w:rtl w:val="0"/>
        </w:rPr>
        <w:t xml:space="preserve">Hyflex courses are being considered on many campuses for fall semester 2020. Schools are trying to figure out how deliver quality education while still being socially responsible. As administrators are making these decisions, instructors are wondering what Hyflex is and what that means for their classes. We will explore what Hyflex means, what are the pros and cons of using this method and how to prepare to teach using the Hyflex model.</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480" w:lineRule="auto"/>
        <w:jc w:val="center"/>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1B">
      <w:pPr>
        <w:spacing w:line="480" w:lineRule="auto"/>
        <w:jc w:val="left"/>
        <w:rPr>
          <w:b w:val="0"/>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1C">
      <w:pPr>
        <w:spacing w:after="160" w:before="0" w:line="480" w:lineRule="auto"/>
        <w:ind w:firstLine="720"/>
        <w:rPr/>
      </w:pPr>
      <w:r w:rsidDel="00000000" w:rsidR="00000000" w:rsidRPr="00000000">
        <w:rPr>
          <w:rtl w:val="0"/>
        </w:rPr>
        <w:t xml:space="preserve">The worldwide pandemic of COVID-19 sent the education world scrambling to instruct students in ways that many had never considered, and with little to no warning to prepare. And considering the circumstances, educators succeeded beautifully. The close of the school year brought many sighs of relief that this chapter was over. But, in many areas, it is not over. Administrators are looking at the next school year with concern. COVID-19 has not been eradicated. Mandatory quarantines have leveled the curve; however, once quarantines were lifted, the rise of virus cases increased. In higher education particularly, this means that students from other states and countries which may have higher COVID-19 rates will be flooding campuses. This is the quandary that administrations across the country are in: how to educate students and be socially responsible. </w:t>
      </w:r>
    </w:p>
    <w:p w:rsidR="00000000" w:rsidDel="00000000" w:rsidP="00000000" w:rsidRDefault="00000000" w:rsidRPr="00000000" w14:paraId="0000001D">
      <w:pPr>
        <w:spacing w:after="160" w:before="0" w:line="480" w:lineRule="auto"/>
        <w:ind w:firstLine="0"/>
        <w:rPr/>
      </w:pPr>
      <w:r w:rsidDel="00000000" w:rsidR="00000000" w:rsidRPr="00000000">
        <w:rPr>
          <w:b w:val="1"/>
          <w:rtl w:val="0"/>
        </w:rPr>
        <w:t xml:space="preserve">Description of Hyflex Model</w:t>
      </w:r>
      <w:r w:rsidDel="00000000" w:rsidR="00000000" w:rsidRPr="00000000">
        <w:rPr>
          <w:rtl w:val="0"/>
        </w:rPr>
      </w:r>
    </w:p>
    <w:p w:rsidR="00000000" w:rsidDel="00000000" w:rsidP="00000000" w:rsidRDefault="00000000" w:rsidRPr="00000000" w14:paraId="0000001E">
      <w:pPr>
        <w:spacing w:after="160" w:before="0" w:line="480" w:lineRule="auto"/>
        <w:ind w:firstLine="720"/>
        <w:rPr/>
      </w:pPr>
      <w:r w:rsidDel="00000000" w:rsidR="00000000" w:rsidRPr="00000000">
        <w:rPr>
          <w:rtl w:val="0"/>
        </w:rPr>
        <w:t xml:space="preserve">The Hyflex model is one course delivery method that is being strongly considered at many schools. The name Hyflex comes from the term “hybrid flexible courses” (Talbert, 2020). Hyflex is a course delivery method which simultaneously includes online, face to face, and asynchronous options from which students can choose (Talbert, 2020; TeachThought Staff, 2015; Haensel, n.d.). As the name suggests, this can look different for each class. The most common setup seems to be that the instructor is in the classroom with students in attendance. There are fewer desks to encourage social distancing. There would also be remote students taking part through Zoom or some other web conferencing application. A third group is also possible, students viewing the course recording asynchronously. As with all modalities, there are benefits and disadvantages to having a Hyflex course. This mode of teaching benefits campuses by maintain their enrollment numbers while limiting the number of students on campus (Kelly, 2020). Faculty can teach face to face, which until now has been the norm. With fewer students in the classroom, instructors can give more attention to, and better help to those students who need it (Kelly, 2020). Students are given control over their learning experience, thus encouraging them to be more actively engaged in their learning. There are disadvantages to the Hyflex instructional model that must be considered as well. With three different learning groups, the instructor must keep track of participation (Kelly, 2020). Where there is an asynchronous possibility, instructors must have options to engage those learners as much as synchronous learners (Haensel, n.d.). With three different learning options, faculty will have to plan for three distinct types of classes that will all take place at the same time. Because students can change their options according to their needs, there will be days in synchronous classes that will seem small, and other days when they will seem large (Kelly, 2020).</w:t>
      </w:r>
    </w:p>
    <w:p w:rsidR="00000000" w:rsidDel="00000000" w:rsidP="00000000" w:rsidRDefault="00000000" w:rsidRPr="00000000" w14:paraId="0000001F">
      <w:pPr>
        <w:spacing w:after="160" w:before="0" w:line="480" w:lineRule="auto"/>
        <w:ind w:left="0" w:right="0" w:firstLine="0"/>
        <w:jc w:val="left"/>
        <w:rPr/>
      </w:pPr>
      <w:r w:rsidDel="00000000" w:rsidR="00000000" w:rsidRPr="00000000">
        <w:rPr>
          <w:b w:val="1"/>
          <w:rtl w:val="0"/>
        </w:rPr>
        <w:t xml:space="preserve">Setup and Techniques</w:t>
      </w:r>
      <w:r w:rsidDel="00000000" w:rsidR="00000000" w:rsidRPr="00000000">
        <w:rPr>
          <w:rtl w:val="0"/>
        </w:rPr>
      </w:r>
    </w:p>
    <w:p w:rsidR="00000000" w:rsidDel="00000000" w:rsidP="00000000" w:rsidRDefault="00000000" w:rsidRPr="00000000" w14:paraId="00000020">
      <w:pPr>
        <w:spacing w:after="160" w:before="0" w:line="480" w:lineRule="auto"/>
        <w:ind w:left="0" w:right="0" w:firstLine="720"/>
        <w:jc w:val="left"/>
        <w:rPr/>
      </w:pPr>
      <w:r w:rsidDel="00000000" w:rsidR="00000000" w:rsidRPr="00000000">
        <w:rPr>
          <w:rtl w:val="0"/>
        </w:rPr>
        <w:t xml:space="preserve">Through a PechaKucha presentation, some of the setup and management techniques for a Hyflex course will be shared. Ashby (2020) had a team demonstrate different classroom setups. With a portable solution, an instructor would have need of a good portable tripod and camera that can be placed in the back of the room to capture the instructor, the lecture, and at least some students in the classroom. It is important for the camera to have a remote with zoom capabilities to capture notes from the board. An omnidirectional microphone is also needed for this portable option. Another possibility that universities can consider is a permanent setup in each classroom. This would have cameras and microphones installed in each room. A third choice, for smaller classes is to get an Owl 360 Conference camera. </w:t>
      </w:r>
    </w:p>
    <w:p w:rsidR="00000000" w:rsidDel="00000000" w:rsidP="00000000" w:rsidRDefault="00000000" w:rsidRPr="00000000" w14:paraId="00000021">
      <w:pPr>
        <w:spacing w:after="160" w:before="0" w:line="480" w:lineRule="auto"/>
        <w:ind w:left="0" w:right="0" w:firstLine="720"/>
        <w:jc w:val="left"/>
        <w:rPr/>
      </w:pPr>
      <w:r w:rsidDel="00000000" w:rsidR="00000000" w:rsidRPr="00000000">
        <w:rPr>
          <w:rtl w:val="0"/>
        </w:rPr>
        <w:t xml:space="preserve">One instructor trying to manage both synchronous groups, face to face and remote, at the same time is difficult. It is a good idea to have a training module for all students to complete before the first day of the course. Students need to be aware that they are part of the instructional team. In this training module, the instructor can include a Google spreadsheet, or another similar method, for students to sign up for face to face monitoring responsibilities. Those students would be in classroom on the day they have opted. As the instructor is teaching the face to face students, the student monitor will have the responsibility of being spokesperson for the remote students. The monitor would watch the web conferencing chat board, ask the instructor for clarification or to answer questions of the remote students. </w:t>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160" w:before="0" w:line="480" w:lineRule="auto"/>
        <w:ind w:left="0" w:right="0" w:firstLine="0"/>
        <w:jc w:val="center"/>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024">
      <w:pPr>
        <w:spacing w:after="160" w:before="0" w:line="480" w:lineRule="auto"/>
        <w:ind w:left="720" w:right="0" w:hanging="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Ashby, D., (2020, June 10). Hy-Flex/Hybrid classroom technology. </w:t>
      </w:r>
      <w:r w:rsidDel="00000000" w:rsidR="00000000" w:rsidRPr="00000000">
        <w:rPr>
          <w:rFonts w:ascii="Calibri" w:cs="Calibri" w:eastAsia="Calibri" w:hAnsi="Calibri"/>
          <w:i w:val="1"/>
          <w:sz w:val="22"/>
          <w:szCs w:val="22"/>
          <w:rtl w:val="0"/>
        </w:rPr>
        <w:t xml:space="preserve">Learning &amp; Teaching Community.</w:t>
      </w:r>
      <w:r w:rsidDel="00000000" w:rsidR="00000000" w:rsidRPr="00000000">
        <w:rPr>
          <w:rFonts w:ascii="Calibri" w:cs="Calibri" w:eastAsia="Calibri" w:hAnsi="Calibri"/>
          <w:i w:val="0"/>
          <w:sz w:val="22"/>
          <w:szCs w:val="22"/>
          <w:rtl w:val="0"/>
        </w:rPr>
        <w:t xml:space="preserve"> </w:t>
      </w:r>
      <w:r w:rsidDel="00000000" w:rsidR="00000000" w:rsidRPr="00000000">
        <w:rPr>
          <w:rFonts w:ascii="Calibri" w:cs="Calibri" w:eastAsia="Calibri" w:hAnsi="Calibri"/>
          <w:sz w:val="22"/>
          <w:szCs w:val="22"/>
          <w:rtl w:val="0"/>
        </w:rPr>
        <w:t xml:space="preserve">https://learningandteaching.byui.edu/blogs/hi-flex--hybrid-classroom-technology</w:t>
      </w:r>
    </w:p>
    <w:p w:rsidR="00000000" w:rsidDel="00000000" w:rsidP="00000000" w:rsidRDefault="00000000" w:rsidRPr="00000000" w14:paraId="00000025">
      <w:pPr>
        <w:spacing w:after="160" w:before="0" w:line="480" w:lineRule="auto"/>
        <w:ind w:left="720" w:right="0" w:hanging="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Haensel, B. (n.d.) What HyFlex courses could mean for students. </w:t>
      </w:r>
      <w:r w:rsidDel="00000000" w:rsidR="00000000" w:rsidRPr="00000000">
        <w:rPr>
          <w:rFonts w:ascii="Calibri" w:cs="Calibri" w:eastAsia="Calibri" w:hAnsi="Calibri"/>
          <w:i w:val="1"/>
          <w:sz w:val="22"/>
          <w:szCs w:val="22"/>
          <w:rtl w:val="0"/>
        </w:rPr>
        <w:t xml:space="preserve">Knack Notes. </w:t>
      </w:r>
      <w:r w:rsidDel="00000000" w:rsidR="00000000" w:rsidRPr="00000000">
        <w:rPr>
          <w:rFonts w:ascii="Calibri" w:cs="Calibri" w:eastAsia="Calibri" w:hAnsi="Calibri"/>
          <w:sz w:val="22"/>
          <w:szCs w:val="22"/>
          <w:rtl w:val="0"/>
        </w:rPr>
        <w:t xml:space="preserve">https://www.joinknack.com/blog/2020/05/22/what-hyflex-courses-could-mean-for-students/ </w:t>
      </w:r>
    </w:p>
    <w:p w:rsidR="00000000" w:rsidDel="00000000" w:rsidP="00000000" w:rsidRDefault="00000000" w:rsidRPr="00000000" w14:paraId="00000026">
      <w:pPr>
        <w:spacing w:after="160" w:before="0" w:line="480" w:lineRule="auto"/>
        <w:ind w:left="720" w:right="0" w:hanging="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Kelly, K. (2020, May 7). COVID-19 planning for fall 2020: A closer look at hybrid-flexible course design. </w:t>
      </w:r>
      <w:r w:rsidDel="00000000" w:rsidR="00000000" w:rsidRPr="00000000">
        <w:rPr>
          <w:rFonts w:ascii="Calibri" w:cs="Calibri" w:eastAsia="Calibri" w:hAnsi="Calibri"/>
          <w:i w:val="1"/>
          <w:sz w:val="22"/>
          <w:szCs w:val="22"/>
          <w:rtl w:val="0"/>
        </w:rPr>
        <w:t xml:space="preserve">Phil on Ed Tech</w:t>
      </w:r>
      <w:r w:rsidDel="00000000" w:rsidR="00000000" w:rsidRPr="00000000">
        <w:rPr>
          <w:rFonts w:ascii="Calibri" w:cs="Calibri" w:eastAsia="Calibri" w:hAnsi="Calibri"/>
          <w:i w:val="0"/>
          <w:sz w:val="22"/>
          <w:szCs w:val="22"/>
          <w:rtl w:val="0"/>
        </w:rPr>
        <w:t xml:space="preserve">. </w:t>
      </w:r>
      <w:r w:rsidDel="00000000" w:rsidR="00000000" w:rsidRPr="00000000">
        <w:rPr>
          <w:rFonts w:ascii="Calibri" w:cs="Calibri" w:eastAsia="Calibri" w:hAnsi="Calibri"/>
          <w:sz w:val="22"/>
          <w:szCs w:val="22"/>
          <w:rtl w:val="0"/>
        </w:rPr>
        <w:t xml:space="preserve">https://philonedtech.com/covid-19-planning-for-fall-2020-a-closer-look-at-hybrid-flexible-course-design/ </w:t>
      </w:r>
    </w:p>
    <w:p w:rsidR="00000000" w:rsidDel="00000000" w:rsidP="00000000" w:rsidRDefault="00000000" w:rsidRPr="00000000" w14:paraId="00000027">
      <w:pPr>
        <w:spacing w:after="160" w:before="0" w:line="480" w:lineRule="auto"/>
        <w:ind w:left="720" w:right="0" w:hanging="720"/>
        <w:jc w:val="left"/>
        <w:rPr>
          <w:b w:val="0"/>
        </w:rPr>
      </w:pPr>
      <w:r w:rsidDel="00000000" w:rsidR="00000000" w:rsidRPr="00000000">
        <w:rPr>
          <w:b w:val="0"/>
          <w:rtl w:val="0"/>
        </w:rPr>
        <w:t xml:space="preserve">Lederman, D. (2020, May 13). The HyFlex option for instruction if campuses open this fall. </w:t>
      </w:r>
      <w:r w:rsidDel="00000000" w:rsidR="00000000" w:rsidRPr="00000000">
        <w:rPr>
          <w:b w:val="0"/>
          <w:i w:val="1"/>
          <w:rtl w:val="0"/>
        </w:rPr>
        <w:t xml:space="preserve">Inside Higher Ed.</w:t>
      </w:r>
      <w:r w:rsidDel="00000000" w:rsidR="00000000" w:rsidRPr="00000000">
        <w:rPr>
          <w:b w:val="0"/>
          <w:i w:val="0"/>
          <w:rtl w:val="0"/>
        </w:rPr>
        <w:t xml:space="preserve"> </w:t>
      </w:r>
      <w:r w:rsidDel="00000000" w:rsidR="00000000" w:rsidRPr="00000000">
        <w:rPr>
          <w:rFonts w:ascii="Calibri" w:cs="Calibri" w:eastAsia="Calibri" w:hAnsi="Calibri"/>
          <w:sz w:val="22"/>
          <w:szCs w:val="22"/>
          <w:rtl w:val="0"/>
        </w:rPr>
        <w:t xml:space="preserve">https://www.insidehighered.com/digital-learning/article/2020/05/13/one-option-delivering-instruction-if-campuses-open-fall-hyflex#.XuuZJ2jEUvA.email</w:t>
      </w:r>
      <w:r w:rsidDel="00000000" w:rsidR="00000000" w:rsidRPr="00000000">
        <w:rPr>
          <w:rtl w:val="0"/>
        </w:rPr>
      </w:r>
    </w:p>
    <w:p w:rsidR="00000000" w:rsidDel="00000000" w:rsidP="00000000" w:rsidRDefault="00000000" w:rsidRPr="00000000" w14:paraId="00000028">
      <w:pPr>
        <w:spacing w:after="160" w:before="0" w:line="480" w:lineRule="auto"/>
        <w:ind w:left="720" w:right="0" w:hanging="720"/>
        <w:jc w:val="left"/>
        <w:rPr>
          <w:b w:val="1"/>
        </w:rPr>
      </w:pPr>
      <w:r w:rsidDel="00000000" w:rsidR="00000000" w:rsidRPr="00000000">
        <w:rPr>
          <w:b w:val="0"/>
          <w:rtl w:val="0"/>
        </w:rPr>
        <w:t xml:space="preserve">Talbert, R (2020, May 8). Research report: Experiencing the hyflex model. </w:t>
      </w:r>
      <w:r w:rsidDel="00000000" w:rsidR="00000000" w:rsidRPr="00000000">
        <w:rPr>
          <w:b w:val="0"/>
          <w:i w:val="1"/>
          <w:rtl w:val="0"/>
        </w:rPr>
        <w:t xml:space="preserve">Robert Talbert, Ph.D.</w:t>
      </w:r>
      <w:r w:rsidDel="00000000" w:rsidR="00000000" w:rsidRPr="00000000">
        <w:rPr>
          <w:b w:val="0"/>
          <w:rtl w:val="0"/>
        </w:rPr>
        <w:t xml:space="preserve"> </w:t>
      </w:r>
      <w:r w:rsidDel="00000000" w:rsidR="00000000" w:rsidRPr="00000000">
        <w:rPr>
          <w:rFonts w:ascii="Calibri" w:cs="Calibri" w:eastAsia="Calibri" w:hAnsi="Calibri"/>
          <w:sz w:val="22"/>
          <w:szCs w:val="22"/>
          <w:rtl w:val="0"/>
        </w:rPr>
        <w:t xml:space="preserve">http://rtalbert.org/research-report-experiencing-the-hyflex-model/</w:t>
      </w:r>
      <w:r w:rsidDel="00000000" w:rsidR="00000000" w:rsidRPr="00000000">
        <w:rPr>
          <w:rtl w:val="0"/>
        </w:rPr>
      </w:r>
    </w:p>
    <w:p w:rsidR="00000000" w:rsidDel="00000000" w:rsidP="00000000" w:rsidRDefault="00000000" w:rsidRPr="00000000" w14:paraId="00000029">
      <w:pPr>
        <w:spacing w:after="160" w:before="0" w:line="480" w:lineRule="auto"/>
        <w:ind w:left="720" w:right="0" w:hanging="720"/>
        <w:jc w:val="left"/>
        <w:rPr>
          <w:rFonts w:ascii="Calibri" w:cs="Calibri" w:eastAsia="Calibri" w:hAnsi="Calibri"/>
          <w:i w:val="0"/>
          <w:sz w:val="22"/>
          <w:szCs w:val="22"/>
        </w:rPr>
      </w:pPr>
      <w:r w:rsidDel="00000000" w:rsidR="00000000" w:rsidRPr="00000000">
        <w:rPr>
          <w:rFonts w:ascii="Calibri" w:cs="Calibri" w:eastAsia="Calibri" w:hAnsi="Calibri"/>
          <w:sz w:val="22"/>
          <w:szCs w:val="22"/>
          <w:rtl w:val="0"/>
        </w:rPr>
        <w:t xml:space="preserve">TeachThought Staff. (2015, November 21). What you should know about HyFlex blended learning. </w:t>
      </w:r>
      <w:r w:rsidDel="00000000" w:rsidR="00000000" w:rsidRPr="00000000">
        <w:rPr>
          <w:rFonts w:ascii="Calibri" w:cs="Calibri" w:eastAsia="Calibri" w:hAnsi="Calibri"/>
          <w:i w:val="1"/>
          <w:sz w:val="22"/>
          <w:szCs w:val="22"/>
          <w:rtl w:val="0"/>
        </w:rPr>
        <w:t xml:space="preserve">TeachThought</w:t>
      </w:r>
      <w:r w:rsidDel="00000000" w:rsidR="00000000" w:rsidRPr="00000000">
        <w:rPr>
          <w:rFonts w:ascii="Calibri" w:cs="Calibri" w:eastAsia="Calibri" w:hAnsi="Calibri"/>
          <w:i w:val="0"/>
          <w:sz w:val="22"/>
          <w:szCs w:val="22"/>
          <w:rtl w:val="0"/>
        </w:rPr>
        <w:t xml:space="preserve">. </w:t>
      </w:r>
      <w:r w:rsidDel="00000000" w:rsidR="00000000" w:rsidRPr="00000000">
        <w:rPr>
          <w:rFonts w:ascii="Calibri" w:cs="Calibri" w:eastAsia="Calibri" w:hAnsi="Calibri"/>
          <w:sz w:val="22"/>
          <w:szCs w:val="22"/>
          <w:rtl w:val="0"/>
        </w:rPr>
        <w:t xml:space="preserve">https://www.teachthought.com/learning/what-you-should-know-about-hyflex-blended-learning/</w:t>
      </w:r>
      <w:r w:rsidDel="00000000" w:rsidR="00000000" w:rsidRPr="00000000">
        <w:rPr>
          <w:rtl w:val="0"/>
        </w:rPr>
      </w:r>
    </w:p>
    <w:p w:rsidR="00000000" w:rsidDel="00000000" w:rsidP="00000000" w:rsidRDefault="00000000" w:rsidRPr="00000000" w14:paraId="0000002A">
      <w:pPr>
        <w:spacing w:after="160" w:before="0" w:line="480" w:lineRule="auto"/>
        <w:ind w:left="720" w:right="0" w:hanging="720"/>
        <w:jc w:val="left"/>
        <w:rPr>
          <w:rFonts w:ascii="Calibri" w:cs="Calibri" w:eastAsia="Calibri" w:hAnsi="Calibri"/>
          <w:sz w:val="22"/>
          <w:szCs w:val="22"/>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t xml:space="preserve">THE HYPE ABOUT HYFLEX </w:t>
      <w:tab/>
      <w:tab/>
      <w:tab/>
      <w:tab/>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ilanerichardson@u.boisestate.edu"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